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247775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Listas de materiales 5º año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83" w:line="354" w:lineRule="auto"/>
        <w:ind w:left="677" w:hanging="317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● Cartuchera completa: birome de tinta azul, lápiz negro y lápices de colores, sacapuntas, goma de borrar tinta/ lápiz, voligoma, regla, tijera, resaltador, microfibras y/o biromes negra y de colores, cinta correctora.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83" w:line="354" w:lineRule="auto"/>
        <w:ind w:left="677" w:hanging="31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Todos los útiles CON NOMBRE. </w:t>
      </w:r>
    </w:p>
    <w:p w:rsidR="00000000" w:rsidDel="00000000" w:rsidP="00000000" w:rsidRDefault="00000000" w:rsidRPr="00000000" w14:paraId="00000005">
      <w:pPr>
        <w:widowControl w:val="0"/>
        <w:spacing w:before="28" w:line="354" w:lineRule="auto"/>
        <w:ind w:left="678" w:right="10" w:hanging="318"/>
        <w:rPr/>
      </w:pPr>
      <w:r w:rsidDel="00000000" w:rsidR="00000000" w:rsidRPr="00000000">
        <w:rPr>
          <w:rtl w:val="0"/>
        </w:rPr>
        <w:t xml:space="preserve">● Útiles de Geometría: transportador con doble amplitud interna y externa (180º), compás no plástico y escuadra (que deberán ser llevados al colegio cuando el docente lo indique) </w:t>
      </w:r>
    </w:p>
    <w:p w:rsidR="00000000" w:rsidDel="00000000" w:rsidP="00000000" w:rsidRDefault="00000000" w:rsidRPr="00000000" w14:paraId="00000006">
      <w:pPr>
        <w:widowControl w:val="0"/>
        <w:spacing w:before="27" w:line="363" w:lineRule="auto"/>
        <w:ind w:left="678" w:right="11" w:hanging="317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b w:val="1"/>
          <w:rtl w:val="0"/>
        </w:rPr>
        <w:t xml:space="preserve">MAPAS </w:t>
      </w:r>
      <w:r w:rsidDel="00000000" w:rsidR="00000000" w:rsidRPr="00000000">
        <w:rPr>
          <w:rtl w:val="0"/>
        </w:rPr>
        <w:t xml:space="preserve">Nº 5: 2 mapas de la Rep. Argentina político; 2 mapas de la Rep. Argentina físicos; 2 planisferios políticos; 1 del Continente Americano político N° 5; 1 de la provincia de Buenos Aires político N° 5.. </w:t>
      </w:r>
    </w:p>
    <w:p w:rsidR="00000000" w:rsidDel="00000000" w:rsidP="00000000" w:rsidRDefault="00000000" w:rsidRPr="00000000" w14:paraId="00000007">
      <w:pPr>
        <w:widowControl w:val="0"/>
        <w:spacing w:before="6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Hojas rayadas y cuadriculadas N° 3</w:t>
      </w:r>
    </w:p>
    <w:p w:rsidR="00000000" w:rsidDel="00000000" w:rsidP="00000000" w:rsidRDefault="00000000" w:rsidRPr="00000000" w14:paraId="00000008">
      <w:pPr>
        <w:widowControl w:val="0"/>
        <w:spacing w:before="6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1 block de hojas canson blancas N° 3 </w:t>
      </w:r>
    </w:p>
    <w:p w:rsidR="00000000" w:rsidDel="00000000" w:rsidP="00000000" w:rsidRDefault="00000000" w:rsidRPr="00000000" w14:paraId="00000009">
      <w:pPr>
        <w:widowControl w:val="0"/>
        <w:spacing w:before="6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3 block de hojas canson de color N° 3 </w:t>
      </w:r>
    </w:p>
    <w:p w:rsidR="00000000" w:rsidDel="00000000" w:rsidP="00000000" w:rsidRDefault="00000000" w:rsidRPr="00000000" w14:paraId="0000000A">
      <w:pPr>
        <w:widowControl w:val="0"/>
        <w:spacing w:before="6" w:line="240" w:lineRule="auto"/>
        <w:ind w:left="361" w:firstLine="0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12 Folios N°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54" w:line="363" w:lineRule="auto"/>
        <w:ind w:left="684" w:right="3" w:hanging="323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Carpeta Nro. 3 con ganchos para Ciencias Sociales y Ciencias Naturales, Prácticas de Lenguaje, Matemática, Catequesis ERE, con una </w:t>
      </w:r>
      <w:r w:rsidDel="00000000" w:rsidR="00000000" w:rsidRPr="00000000">
        <w:rPr>
          <w:b w:val="1"/>
          <w:rtl w:val="0"/>
        </w:rPr>
        <w:t xml:space="preserve">portada general</w:t>
      </w:r>
      <w:r w:rsidDel="00000000" w:rsidR="00000000" w:rsidRPr="00000000">
        <w:rPr>
          <w:rtl w:val="0"/>
        </w:rPr>
        <w:t xml:space="preserve"> con datos del alumno. </w:t>
      </w:r>
    </w:p>
    <w:p w:rsidR="00000000" w:rsidDel="00000000" w:rsidP="00000000" w:rsidRDefault="00000000" w:rsidRPr="00000000" w14:paraId="0000000C">
      <w:pPr>
        <w:widowControl w:val="0"/>
        <w:spacing w:before="6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Cuaderno borrador. </w:t>
      </w:r>
    </w:p>
    <w:p w:rsidR="00000000" w:rsidDel="00000000" w:rsidP="00000000" w:rsidRDefault="00000000" w:rsidRPr="00000000" w14:paraId="0000000D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Diccionario.</w:t>
      </w:r>
    </w:p>
    <w:p w:rsidR="00000000" w:rsidDel="00000000" w:rsidP="00000000" w:rsidRDefault="00000000" w:rsidRPr="00000000" w14:paraId="0000000E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Block El nene blanco</w:t>
      </w:r>
    </w:p>
    <w:p w:rsidR="00000000" w:rsidDel="00000000" w:rsidP="00000000" w:rsidRDefault="00000000" w:rsidRPr="00000000" w14:paraId="0000000F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Block El nene color</w:t>
      </w:r>
    </w:p>
    <w:p w:rsidR="00000000" w:rsidDel="00000000" w:rsidP="00000000" w:rsidRDefault="00000000" w:rsidRPr="00000000" w14:paraId="00000010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  <w:t xml:space="preserve">Material comunitario para todo el año: </w:t>
      </w:r>
    </w:p>
    <w:p w:rsidR="00000000" w:rsidDel="00000000" w:rsidP="00000000" w:rsidRDefault="00000000" w:rsidRPr="00000000" w14:paraId="00000012">
      <w:pPr>
        <w:widowControl w:val="0"/>
        <w:spacing w:before="154" w:line="240" w:lineRule="auto"/>
        <w:ind w:left="361" w:firstLine="0"/>
        <w:rPr/>
      </w:pPr>
      <w:r w:rsidDel="00000000" w:rsidR="00000000" w:rsidRPr="00000000">
        <w:rPr>
          <w:rtl w:val="0"/>
        </w:rPr>
        <w:t xml:space="preserve">     2 afiches de colores claros</w:t>
      </w:r>
    </w:p>
    <w:p w:rsidR="00000000" w:rsidDel="00000000" w:rsidP="00000000" w:rsidRDefault="00000000" w:rsidRPr="00000000" w14:paraId="00000013">
      <w:pPr>
        <w:widowControl w:val="0"/>
        <w:spacing w:before="15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3 cartulinas de color</w:t>
      </w:r>
    </w:p>
    <w:p w:rsidR="00000000" w:rsidDel="00000000" w:rsidP="00000000" w:rsidRDefault="00000000" w:rsidRPr="00000000" w14:paraId="00000014">
      <w:pPr>
        <w:widowControl w:val="0"/>
        <w:spacing w:before="155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3 cartulinas blancas</w:t>
      </w:r>
    </w:p>
    <w:p w:rsidR="00000000" w:rsidDel="00000000" w:rsidP="00000000" w:rsidRDefault="00000000" w:rsidRPr="00000000" w14:paraId="00000015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1 cinta de papel de 36 ó 48 mm </w:t>
      </w:r>
    </w:p>
    <w:p w:rsidR="00000000" w:rsidDel="00000000" w:rsidP="00000000" w:rsidRDefault="00000000" w:rsidRPr="00000000" w14:paraId="00000016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1 cinta scotch de embalaje transparente </w:t>
      </w:r>
    </w:p>
    <w:p w:rsidR="00000000" w:rsidDel="00000000" w:rsidP="00000000" w:rsidRDefault="00000000" w:rsidRPr="00000000" w14:paraId="00000017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1 fibrón negro al agua </w:t>
      </w:r>
    </w:p>
    <w:p w:rsidR="00000000" w:rsidDel="00000000" w:rsidP="00000000" w:rsidRDefault="00000000" w:rsidRPr="00000000" w14:paraId="00000018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1 fibrón de color al agua</w:t>
      </w:r>
    </w:p>
    <w:p w:rsidR="00000000" w:rsidDel="00000000" w:rsidP="00000000" w:rsidRDefault="00000000" w:rsidRPr="00000000" w14:paraId="00000019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50 hojas A4 blancas</w:t>
      </w:r>
    </w:p>
    <w:p w:rsidR="00000000" w:rsidDel="00000000" w:rsidP="00000000" w:rsidRDefault="00000000" w:rsidRPr="00000000" w14:paraId="0000001A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  <w:t xml:space="preserve">10 folios A4</w:t>
      </w:r>
    </w:p>
    <w:p w:rsidR="00000000" w:rsidDel="00000000" w:rsidP="00000000" w:rsidRDefault="00000000" w:rsidRPr="00000000" w14:paraId="0000001B">
      <w:pPr>
        <w:widowControl w:val="0"/>
        <w:spacing w:before="133" w:line="240" w:lineRule="auto"/>
        <w:ind w:left="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133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Durante el año realizaremos varios Proyectos, los cuales requerirán algún material específico que se les pedirá oportunamente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spacing w:before="515" w:line="240" w:lineRule="auto"/>
        <w:rPr>
          <w:rFonts w:ascii="Noto Sans Symbols" w:cs="Noto Sans Symbols" w:eastAsia="Noto Sans Symbols" w:hAnsi="Noto Sans Symbols"/>
          <w:sz w:val="32"/>
          <w:szCs w:val="32"/>
        </w:rPr>
      </w:pPr>
      <w:r w:rsidDel="00000000" w:rsidR="00000000" w:rsidRPr="00000000">
        <w:rPr>
          <w:b w:val="1"/>
          <w:u w:val="single"/>
          <w:rtl w:val="0"/>
        </w:rPr>
        <w:t xml:space="preserve">TEXTOS: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9" w:line="240" w:lineRule="auto"/>
        <w:ind w:right="-40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✔ </w:t>
      </w:r>
      <w:r w:rsidDel="00000000" w:rsidR="00000000" w:rsidRPr="00000000">
        <w:rPr>
          <w:b w:val="1"/>
          <w:rtl w:val="0"/>
        </w:rPr>
        <w:t xml:space="preserve">PRÁCTICAS DEL LENGUAJE: </w:t>
      </w:r>
      <w:r w:rsidDel="00000000" w:rsidR="00000000" w:rsidRPr="00000000">
        <w:rPr>
          <w:rtl w:val="0"/>
        </w:rPr>
        <w:t xml:space="preserve">De la lista publicada en Lecturas de verano deberás elegir un título y leerlo durante el verano será la primera secuencia de Pdl a trabajar. Luego se pedirán tres títulos de literatura infantil uno en cada trimestre.</w:t>
      </w:r>
    </w:p>
    <w:p w:rsidR="00000000" w:rsidDel="00000000" w:rsidP="00000000" w:rsidRDefault="00000000" w:rsidRPr="00000000" w14:paraId="0000001F">
      <w:pPr>
        <w:widowControl w:val="0"/>
        <w:spacing w:before="129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✔ </w:t>
      </w:r>
      <w:r w:rsidDel="00000000" w:rsidR="00000000" w:rsidRPr="00000000">
        <w:rPr>
          <w:b w:val="1"/>
          <w:rtl w:val="0"/>
        </w:rPr>
        <w:t xml:space="preserve">MATEMÁTICA: </w:t>
      </w:r>
      <w:r w:rsidDel="00000000" w:rsidR="00000000" w:rsidRPr="00000000">
        <w:rPr>
          <w:rtl w:val="0"/>
        </w:rPr>
        <w:t xml:space="preserve">Editorial SANTILLANA, Expedición Matemática 5.</w:t>
      </w:r>
    </w:p>
    <w:p w:rsidR="00000000" w:rsidDel="00000000" w:rsidP="00000000" w:rsidRDefault="00000000" w:rsidRPr="00000000" w14:paraId="00000020">
      <w:pPr>
        <w:widowControl w:val="0"/>
        <w:spacing w:before="196" w:line="240" w:lineRule="auto"/>
        <w:ind w:right="31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✔ </w:t>
      </w:r>
      <w:r w:rsidDel="00000000" w:rsidR="00000000" w:rsidRPr="00000000">
        <w:rPr>
          <w:b w:val="1"/>
          <w:rtl w:val="0"/>
        </w:rPr>
        <w:t xml:space="preserve">CIENCIAS NATURALES y CIENCIAS SOCIALES 5to: </w:t>
      </w:r>
      <w:r w:rsidDel="00000000" w:rsidR="00000000" w:rsidRPr="00000000">
        <w:rPr>
          <w:rtl w:val="0"/>
        </w:rPr>
        <w:t xml:space="preserve">Editorial EDELVIVES Ciencias Sociales Bonaerense, Ciencias Naturales Bonaerense Serie INSIGNIA 5. </w:t>
      </w:r>
    </w:p>
    <w:p w:rsidR="00000000" w:rsidDel="00000000" w:rsidP="00000000" w:rsidRDefault="00000000" w:rsidRPr="00000000" w14:paraId="00000021">
      <w:pPr>
        <w:widowControl w:val="0"/>
        <w:spacing w:line="358" w:lineRule="auto"/>
        <w:ind w:right="16"/>
        <w:rPr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✔ </w:t>
      </w:r>
      <w:r w:rsidDel="00000000" w:rsidR="00000000" w:rsidRPr="00000000">
        <w:rPr>
          <w:b w:val="1"/>
          <w:rtl w:val="0"/>
        </w:rPr>
        <w:t xml:space="preserve">CATEQUESIS- ERE: </w:t>
      </w:r>
      <w:r w:rsidDel="00000000" w:rsidR="00000000" w:rsidRPr="00000000">
        <w:rPr>
          <w:rtl w:val="0"/>
        </w:rPr>
        <w:t xml:space="preserve">¡Con Jesús a la aventura! Un viaje en el tiempo a una historia apasionante</w:t>
      </w:r>
      <w:r w:rsidDel="00000000" w:rsidR="00000000" w:rsidRPr="00000000">
        <w:rPr>
          <w:b w:val="1"/>
          <w:rtl w:val="0"/>
        </w:rPr>
        <w:t xml:space="preserve">. 5. Colección Diálogos del Manantial. Editorial GRAM. </w:t>
      </w:r>
    </w:p>
    <w:p w:rsidR="00000000" w:rsidDel="00000000" w:rsidP="00000000" w:rsidRDefault="00000000" w:rsidRPr="00000000" w14:paraId="00000022">
      <w:pPr>
        <w:widowControl w:val="0"/>
        <w:spacing w:before="348" w:line="240" w:lineRule="auto"/>
        <w:ind w:left="1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INGLÉS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before="523" w:line="354" w:lineRule="auto"/>
        <w:ind w:left="720" w:right="399" w:hanging="360"/>
        <w:rPr/>
      </w:pPr>
      <w:r w:rsidDel="00000000" w:rsidR="00000000" w:rsidRPr="00000000">
        <w:rPr>
          <w:rtl w:val="0"/>
        </w:rPr>
        <w:t xml:space="preserve">Carpeta N°3 con portada con los datos del alumno/a y hojas rayadas numeradas y con nombre , 2 folios para entregar hojas para corrección, un repuesto de hojas de color y uno blanco.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line="354" w:lineRule="auto"/>
        <w:ind w:left="720" w:right="399" w:hanging="360"/>
        <w:rPr/>
      </w:pPr>
      <w:r w:rsidDel="00000000" w:rsidR="00000000" w:rsidRPr="00000000">
        <w:rPr>
          <w:rtl w:val="0"/>
        </w:rPr>
        <w:t xml:space="preserve"> BOOKLET: módulo de actividades que se adquirirá en la librería del colegio. Estará disponible ANTES de comenzar las clases para trabajar con él desde los primeros días.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Un diccionario de bolsillo o similar bilingüe.</w:t>
      </w:r>
    </w:p>
    <w:p w:rsidR="00000000" w:rsidDel="00000000" w:rsidP="00000000" w:rsidRDefault="00000000" w:rsidRPr="00000000" w14:paraId="00000026">
      <w:pPr>
        <w:widowControl w:val="0"/>
        <w:spacing w:before="28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668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Instituto Peralta Ramos | Hermanos Maristas | Escuela Reconocida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spacing w:before="14" w:line="242.99999999999997" w:lineRule="auto"/>
        <w:ind w:left="794" w:right="806" w:firstLine="0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Sede Central - Maipú 3351 -Tel: (+54-223) 475-2815 / 2764 | Sede Villa Marista - Ortega y Gasset 2750-Tel: (+54-223) 479-4877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www.iprmardelplata.edu.ar | CP 7600 | Mar del Plata | Buenos Aires | Argentina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MwKW0obgVKB80xVBIDZrwagBjg==">CgMxLjA4AHIhMWh6b18yOUFCVU1DdFhSTm9JaUtLbVcxSWxOMTZuQ0Rx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